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70" w:lineRule="atLeast"/>
        <w:jc w:val="center"/>
        <w:rPr>
          <w:rFonts w:ascii="微软雅黑" w:eastAsia="微软雅黑" w:hAnsi="微软雅黑"/>
          <w:color w:val="454545"/>
          <w:sz w:val="16"/>
          <w:szCs w:val="16"/>
        </w:rPr>
      </w:pPr>
      <w:r>
        <w:rPr>
          <w:rFonts w:ascii="方正小标宋简体" w:eastAsia="方正小标宋简体" w:hAnsi="微软雅黑" w:hint="eastAsia"/>
          <w:color w:val="454545"/>
          <w:sz w:val="29"/>
          <w:szCs w:val="29"/>
          <w:bdr w:val="none" w:sz="0" w:space="0" w:color="auto" w:frame="1"/>
        </w:rPr>
        <w:t>2020年四川省、重庆市社科规划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70" w:lineRule="atLeast"/>
        <w:jc w:val="center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方正小标宋简体" w:eastAsia="方正小标宋简体" w:hAnsi="微软雅黑" w:hint="eastAsia"/>
          <w:color w:val="454545"/>
          <w:sz w:val="29"/>
          <w:szCs w:val="29"/>
          <w:bdr w:val="none" w:sz="0" w:space="0" w:color="auto" w:frame="1"/>
        </w:rPr>
        <w:t>“成渝地区双城经济圈”重大项目申报指南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70" w:lineRule="atLeast"/>
        <w:jc w:val="center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方正小标宋简体" w:eastAsia="方正小标宋简体" w:hAnsi="微软雅黑" w:hint="eastAsia"/>
          <w:color w:val="454545"/>
          <w:sz w:val="29"/>
          <w:szCs w:val="29"/>
          <w:bdr w:val="none" w:sz="0" w:space="0" w:color="auto" w:frame="1"/>
        </w:rPr>
        <w:t> 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1.成渝地区双城经济圈：打造区域协作高水平样板及协同发展指数研究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2.成渝地区双城经济圈：稳定和优化产业</w:t>
      </w:r>
      <w:proofErr w:type="gramStart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链供应</w:t>
      </w:r>
      <w:proofErr w:type="gramEnd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链研究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3.成渝地区双城经济圈：对接“一带一路”建设西部陆海新通道研究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4.以“一干多支”支撑成渝地区双城经济圈建设的路径研究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5.成渝地区双城经济圈：推进人与自然和谐共生的体制机制研究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6.成渝地区双城经济圈：</w:t>
      </w:r>
      <w:proofErr w:type="gramStart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成渝绵科创金三角</w:t>
      </w:r>
      <w:proofErr w:type="gramEnd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建设研究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7.大数据与川渝旅游资源的整合与提升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8.成渝地区双城经济圈大体育一体化发展研究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9.成渝地区双城经济圈融入“双循环”新发展格局路径研究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10.成渝地区双城经济圈一体化发展市场体系建设研究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11.成渝地区双城经济</w:t>
      </w:r>
      <w:proofErr w:type="gramStart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圈重大</w:t>
      </w:r>
      <w:proofErr w:type="gramEnd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基础设施一体化布局建设研究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12.提升成渝地区双城经济圈城市群同城化水平研究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13.增强成渝地区双城经济</w:t>
      </w:r>
      <w:proofErr w:type="gramStart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圈改革</w:t>
      </w:r>
      <w:proofErr w:type="gramEnd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创新叠加效应研究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14.培育成渝地区双城经济</w:t>
      </w:r>
      <w:proofErr w:type="gramStart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圈国际</w:t>
      </w:r>
      <w:proofErr w:type="gramEnd"/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合作和竞争新优势研究</w:t>
      </w:r>
    </w:p>
    <w:p w:rsidR="00A85F00" w:rsidRDefault="00A85F00" w:rsidP="00A85F0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16"/>
          <w:szCs w:val="16"/>
        </w:rPr>
      </w:pPr>
      <w:r>
        <w:rPr>
          <w:rFonts w:ascii="仿宋" w:eastAsia="仿宋" w:hAnsi="仿宋" w:hint="eastAsia"/>
          <w:color w:val="454545"/>
          <w:sz w:val="21"/>
          <w:szCs w:val="21"/>
          <w:bdr w:val="none" w:sz="0" w:space="0" w:color="auto" w:frame="1"/>
        </w:rPr>
        <w:t>15.巴蜀文化的传承与发展研究</w:t>
      </w:r>
    </w:p>
    <w:p w:rsidR="0068731C" w:rsidRPr="00A85F00" w:rsidRDefault="0068731C"/>
    <w:sectPr w:rsidR="0068731C" w:rsidRPr="00A85F00" w:rsidSect="0068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F00"/>
    <w:rsid w:val="0068731C"/>
    <w:rsid w:val="00A8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2020-11-13T01:04:00Z</dcterms:created>
  <dcterms:modified xsi:type="dcterms:W3CDTF">2020-11-13T01:04:00Z</dcterms:modified>
</cp:coreProperties>
</file>